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 Narrow" w:cs="Arial Narrow" w:eastAsia="Arial Narrow" w:hAnsi="Arial Narrow"/>
          <w:b w:val="1"/>
          <w:smallCaps w:val="1"/>
          <w:sz w:val="36"/>
          <w:szCs w:val="3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1"/>
          <w:sz w:val="36"/>
          <w:szCs w:val="36"/>
          <w:rtl w:val="0"/>
        </w:rPr>
        <w:t xml:space="preserve">Personal Plan of Study Worksheet for 11</w:t>
      </w:r>
      <w:r w:rsidDel="00000000" w:rsidR="00000000" w:rsidRPr="00000000">
        <w:rPr>
          <w:rFonts w:ascii="Arial Narrow" w:cs="Arial Narrow" w:eastAsia="Arial Narrow" w:hAnsi="Arial Narrow"/>
          <w:b w:val="1"/>
          <w:smallCaps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Arial Narrow" w:cs="Arial Narrow" w:eastAsia="Arial Narrow" w:hAnsi="Arial Narrow"/>
          <w:b w:val="1"/>
          <w:smallCaps w:val="1"/>
          <w:sz w:val="36"/>
          <w:szCs w:val="36"/>
          <w:rtl w:val="0"/>
        </w:rPr>
        <w:t xml:space="preserve"> Grade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Arial Narrow" w:cs="Arial Narrow" w:eastAsia="Arial Narrow" w:hAnsi="Arial Narrow"/>
          <w:b w:val="1"/>
          <w:sz w:val="12"/>
          <w:szCs w:val="1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20.0" w:type="dxa"/>
        <w:jc w:val="left"/>
        <w:tblInd w:w="10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00"/>
        <w:gridCol w:w="4320"/>
        <w:tblGridChange w:id="0">
          <w:tblGrid>
            <w:gridCol w:w="4200"/>
            <w:gridCol w:w="4320"/>
          </w:tblGrid>
        </w:tblGridChange>
      </w:tblGrid>
      <w:tr>
        <w:trPr>
          <w:cantSplit w:val="0"/>
          <w:trHeight w:val="366.289062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8"/>
                <w:szCs w:val="28"/>
                <w:rtl w:val="0"/>
              </w:rPr>
              <w:t xml:space="preserve">Required Courses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8"/>
                <w:szCs w:val="28"/>
                <w:rtl w:val="0"/>
              </w:rPr>
              <w:t xml:space="preserve">Course Name and Numbers</w:t>
            </w:r>
          </w:p>
        </w:tc>
      </w:tr>
      <w:tr>
        <w:trPr>
          <w:cantSplit w:val="0"/>
          <w:trHeight w:val="816.914062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English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English 3 –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057031/057032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AP Language and Composition – 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059201/059202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Math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Algebra 2--117301 and 117302</w:t>
            </w:r>
          </w:p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Alg 2/Trig--117401 and 117402</w:t>
            </w:r>
          </w:p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Pre-Calculus--117701 and 117702</w:t>
            </w:r>
          </w:p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Honors Pre-Calculus--118701 and 118702</w:t>
            </w:r>
          </w:p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College Algebra--117601 and 117602</w:t>
            </w:r>
          </w:p>
        </w:tc>
      </w:tr>
      <w:tr>
        <w:trPr>
          <w:cantSplit w:val="0"/>
          <w:trHeight w:val="488.9648437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Science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Roboto" w:cs="Roboto" w:eastAsia="Roboto" w:hAnsi="Roboto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Chemistry 137201/137202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Honors Chemistry – 138201/138202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Roboto" w:cs="Roboto" w:eastAsia="Roboto" w:hAnsi="Roboto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Physics – 137201/137202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Roboto" w:cs="Roboto" w:eastAsia="Roboto" w:hAnsi="Roboto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AP Physics 1–139421/139422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Roboto" w:cs="Roboto" w:eastAsia="Roboto" w:hAnsi="Roboto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Roboto" w:cs="Roboto" w:eastAsia="Roboto" w:hAnsi="Roboto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Astronomy, Geology, Meteorology, Environmental Science, AP Environmental Science,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Electives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Social Studies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Government--157100 (one semester)</w:t>
            </w:r>
          </w:p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25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AP Government and Comp Gov--159121 and 159122 (year-long course)</w:t>
            </w:r>
          </w:p>
        </w:tc>
      </w:tr>
      <w:tr>
        <w:trPr>
          <w:cantSplit w:val="0"/>
          <w:trHeight w:val="580.7812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Social Studies (required elective for graduation)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Please refer to the course guide for 11th grade options.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Physical Education (required elective for graduation)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Please refer to the course guide for 11th grade options. </w:t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Arial Narrow" w:cs="Arial Narrow" w:eastAsia="Arial Narrow" w:hAnsi="Arial Narrow"/>
          <w:b w:val="1"/>
          <w:i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8"/>
          <w:szCs w:val="28"/>
          <w:rtl w:val="0"/>
        </w:rPr>
        <w:t xml:space="preserve">Elective Courses</w:t>
      </w:r>
    </w:p>
    <w:tbl>
      <w:tblPr>
        <w:tblStyle w:val="Table2"/>
        <w:tblW w:w="78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8"/>
        <w:gridCol w:w="4410"/>
        <w:gridCol w:w="2250"/>
        <w:tblGridChange w:id="0">
          <w:tblGrid>
            <w:gridCol w:w="1188"/>
            <w:gridCol w:w="441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  <w:rtl w:val="0"/>
              </w:rPr>
              <w:t xml:space="preserve">Course Name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  <w:rtl w:val="0"/>
              </w:rPr>
              <w:t xml:space="preserve">Course Number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Choice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Choice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Choice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Choice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Choice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Arial Narrow" w:cs="Arial Narrow" w:eastAsia="Arial Narrow" w:hAnsi="Arial Narrow"/>
          <w:b w:val="1"/>
          <w:i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8"/>
          <w:szCs w:val="28"/>
          <w:rtl w:val="0"/>
        </w:rPr>
        <w:t xml:space="preserve">Alternate Elective Courses</w:t>
      </w:r>
    </w:p>
    <w:tbl>
      <w:tblPr>
        <w:tblStyle w:val="Table3"/>
        <w:tblW w:w="78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8"/>
        <w:gridCol w:w="4410"/>
        <w:gridCol w:w="2250"/>
        <w:tblGridChange w:id="0">
          <w:tblGrid>
            <w:gridCol w:w="1188"/>
            <w:gridCol w:w="441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  <w:rtl w:val="0"/>
              </w:rPr>
              <w:t xml:space="preserve">Course Name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  <w:rtl w:val="0"/>
              </w:rPr>
              <w:t xml:space="preserve">Course Number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Choice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Choice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Choice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Choice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4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